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4EFF" w:rsidRDefault="00C14EFF" w:rsidP="00E11453">
      <w:pPr>
        <w:spacing w:after="0"/>
      </w:pPr>
    </w:p>
    <w:p w:rsidR="00C14EFF" w:rsidRDefault="00C14EFF" w:rsidP="00E11453">
      <w:pPr>
        <w:spacing w:after="0"/>
      </w:pPr>
    </w:p>
    <w:p w:rsidR="00C14EFF" w:rsidRDefault="00C14EFF" w:rsidP="00E11453">
      <w:pPr>
        <w:spacing w:after="0"/>
      </w:pPr>
    </w:p>
    <w:p w:rsidR="00C14EFF" w:rsidRDefault="00C14EFF" w:rsidP="00E11453">
      <w:pPr>
        <w:spacing w:after="0"/>
      </w:pPr>
    </w:p>
    <w:p w:rsidR="00C14EFF" w:rsidRDefault="00C14EFF" w:rsidP="00E11453">
      <w:pPr>
        <w:spacing w:after="0"/>
      </w:pPr>
    </w:p>
    <w:p w:rsidR="00C14EFF" w:rsidRDefault="00C14EFF" w:rsidP="00E11453">
      <w:pPr>
        <w:spacing w:after="0"/>
        <w:jc w:val="center"/>
      </w:pPr>
    </w:p>
    <w:p w:rsidR="00C14EFF" w:rsidRDefault="00DE206A" w:rsidP="00E11453">
      <w:pPr>
        <w:spacing w:after="0"/>
        <w:jc w:val="center"/>
      </w:pPr>
      <w:r>
        <w:t>Finance Assignment</w:t>
      </w:r>
    </w:p>
    <w:p w:rsidR="00C14EFF" w:rsidRDefault="00FA7D37" w:rsidP="00E11453">
      <w:pPr>
        <w:spacing w:after="0"/>
        <w:jc w:val="center"/>
      </w:pPr>
      <w:r>
        <w:t>Name of Student</w:t>
      </w:r>
    </w:p>
    <w:p w:rsidR="00C14EFF" w:rsidRDefault="00FA7D37" w:rsidP="00E11453">
      <w:pPr>
        <w:spacing w:after="0"/>
        <w:jc w:val="center"/>
      </w:pPr>
      <w:r>
        <w:t>Institution Affiliation</w:t>
      </w:r>
    </w:p>
    <w:p w:rsidR="00C14EFF" w:rsidRDefault="00FA7D37" w:rsidP="00E11453">
      <w:pPr>
        <w:spacing w:after="0"/>
      </w:pPr>
      <w:bookmarkStart w:id="0" w:name="_GoBack"/>
      <w:r>
        <w:br w:type="page"/>
      </w:r>
    </w:p>
    <w:bookmarkEnd w:id="0"/>
    <w:p w:rsidR="003F1D04" w:rsidRDefault="003F1D04" w:rsidP="00E11453">
      <w:pPr>
        <w:spacing w:after="0"/>
        <w:rPr>
          <w:b/>
        </w:rPr>
      </w:pPr>
      <w:r>
        <w:rPr>
          <w:b/>
        </w:rPr>
        <w:lastRenderedPageBreak/>
        <w:t>Question 1; Calculate three bond Repayment Ratios</w:t>
      </w:r>
    </w:p>
    <w:p w:rsidR="003F1D04" w:rsidRDefault="003F1D04" w:rsidP="00E11453">
      <w:pPr>
        <w:spacing w:after="0"/>
        <w:jc w:val="both"/>
        <w:rPr>
          <w:b/>
        </w:rPr>
      </w:pPr>
      <w:r>
        <w:tab/>
        <w:t xml:space="preserve">The three bond repayment ratios that will be calculated for this question are the debt service coverage ratio (DSCR), the cash coverage ratio (CCR) and the debt ratio. The debt service coverage ratio is a financial ratio that measures the cash flow (from business operations) available to the company to service current debt obligations. It is calculated by dividing the earnings before interest and taxes (EBIT) by the firm’s short term debt and current portion of the long-term debt. The calculation yields a value of ‘1.8’ times. This implies that the firm’s cash flow from operations can service 1.8 times the value of the firm’s short-term debt obligations. The second bond repayment ratio is the Cash coverage ratio. It </w:t>
      </w:r>
      <w:r w:rsidR="009F140B">
        <w:t>measures</w:t>
      </w:r>
      <w:r>
        <w:t xml:space="preserve"> the total cash at the firm’s disposal available to service its current debt obligation (short-term debt and current portion of long-term debt). It therefore adds depreciation and amortization back to the net operating revenue since it is a non cash item and then divides the resulting figure by the current debt obligations. The resulting figure is ‘4.9’ times. The final financial ratio is the firm’s cost of debt which measure the average cost of the hospitals debt burden. The calculation </w:t>
      </w:r>
      <w:r w:rsidR="009F140B">
        <w:t>yields</w:t>
      </w:r>
      <w:r>
        <w:t xml:space="preserve"> an average cost of debt of 5.99%. The ratios suggest that Ridgeland Heights Medical center stands in good stead with regards to servicing its debt obligations since the coverage ratios are well over 1 times. The cost of debt is also not that high at about two times the current </w:t>
      </w:r>
      <w:r w:rsidR="009F140B">
        <w:t>labor</w:t>
      </w:r>
      <w:r>
        <w:t xml:space="preserve"> rate (2.68%) implying that the hospital can manage repayment.</w:t>
      </w:r>
    </w:p>
    <w:p w:rsidR="00A9450F" w:rsidRPr="009F140B" w:rsidRDefault="00A9450F" w:rsidP="00E11453">
      <w:pPr>
        <w:spacing w:after="0"/>
        <w:rPr>
          <w:b/>
        </w:rPr>
      </w:pPr>
      <w:r w:rsidRPr="009F140B">
        <w:rPr>
          <w:b/>
        </w:rPr>
        <w:t>Question 2; Calculation of the bad debt expense and the provision for bad debts</w:t>
      </w:r>
    </w:p>
    <w:p w:rsidR="00A9450F" w:rsidRDefault="00A9450F" w:rsidP="00E11453">
      <w:pPr>
        <w:spacing w:after="0"/>
        <w:jc w:val="both"/>
      </w:pPr>
      <w:r>
        <w:tab/>
        <w:t>The provision for bad debts is an estimate of the value of bad debts that will be realized on the accounts receivable that have yet to be collected</w:t>
      </w:r>
      <w:r w:rsidR="00923039">
        <w:t xml:space="preserve"> (</w:t>
      </w:r>
      <w:proofErr w:type="spellStart"/>
      <w:r w:rsidR="00923039">
        <w:t>Sigidov</w:t>
      </w:r>
      <w:proofErr w:type="spellEnd"/>
      <w:r w:rsidR="009F140B">
        <w:t>,</w:t>
      </w:r>
      <w:r w:rsidR="00923039">
        <w:t xml:space="preserve"> 2016)</w:t>
      </w:r>
      <w:r>
        <w:t>. Typically, the hospital will make this estimation of the amount of bad debts based on historical experience</w:t>
      </w:r>
      <w:r w:rsidR="003C22A3">
        <w:t>. For example, the hospital</w:t>
      </w:r>
      <w:r>
        <w:t xml:space="preserve"> might estimate from historical transactions that it </w:t>
      </w:r>
      <w:r w:rsidR="005739A5">
        <w:t xml:space="preserve">will collect 60% of the receivables in month 1, 30% in month 2 and the rest as uncollectible. This amount will then be expensed by a debit amount to the bad debt expense account that is on the hospital’s income </w:t>
      </w:r>
      <w:r w:rsidR="005739A5">
        <w:lastRenderedPageBreak/>
        <w:t>statement. A corresponding credit amount will be recorded on the ‘Provision for doubtful debts’ account</w:t>
      </w:r>
      <w:r w:rsidR="00FE4298">
        <w:t>,</w:t>
      </w:r>
      <w:r w:rsidR="005739A5">
        <w:t xml:space="preserve"> a contra account to the accounts receivable </w:t>
      </w:r>
      <w:r w:rsidR="00FE4298">
        <w:t>account, which</w:t>
      </w:r>
      <w:r w:rsidR="005739A5">
        <w:t xml:space="preserve"> is on the hospital’s balance sheet directly below the accounts receivable line item. However, when the hospital realizes that a specific customer invoice isn’t going to be paid,</w:t>
      </w:r>
      <w:r w:rsidR="00FE4298">
        <w:t xml:space="preserve"> a journal entry will be recorded to eliminate the provision. The entry should debit the ‘Provision for bad debts account’ by the amount and credit the ‘accounts receivable account’ by the same amount. This transaction only nets off the balance sheet amounts and does not affect the income statement. </w:t>
      </w:r>
      <w:r w:rsidR="005739A5">
        <w:t xml:space="preserve">  </w:t>
      </w:r>
    </w:p>
    <w:p w:rsidR="003C22A3" w:rsidRPr="009F140B" w:rsidRDefault="003C22A3" w:rsidP="00E11453">
      <w:pPr>
        <w:spacing w:after="0"/>
        <w:rPr>
          <w:b/>
        </w:rPr>
      </w:pPr>
      <w:r w:rsidRPr="009F140B">
        <w:rPr>
          <w:b/>
        </w:rPr>
        <w:t>Question 3; Key elements of the Medicare cost report and why it is important for the hospital’s net revenues</w:t>
      </w:r>
    </w:p>
    <w:p w:rsidR="003C22A3" w:rsidRDefault="003C22A3" w:rsidP="00E11453">
      <w:pPr>
        <w:spacing w:after="0"/>
        <w:jc w:val="both"/>
      </w:pPr>
      <w:r>
        <w:tab/>
        <w:t xml:space="preserve">The Medicare Cost Report is a report that ought to be </w:t>
      </w:r>
      <w:r w:rsidR="00AB3625">
        <w:t>prepared by facilities that participate in the Medicare program such as hospitals, mental health facilities, skilled nursing facilities as well as rural health clinics and submitted to the Medicare</w:t>
      </w:r>
      <w:r w:rsidR="00923039">
        <w:t xml:space="preserve"> Administrative Contractor (</w:t>
      </w:r>
      <w:proofErr w:type="spellStart"/>
      <w:r w:rsidR="00923039">
        <w:t>Mangus</w:t>
      </w:r>
      <w:proofErr w:type="spellEnd"/>
      <w:r w:rsidR="009F140B">
        <w:t>,</w:t>
      </w:r>
      <w:r w:rsidR="00923039">
        <w:t xml:space="preserve"> 2015</w:t>
      </w:r>
      <w:r w:rsidR="00AB3625">
        <w:t>). The cost report contains information regarding the provider. Firstly, it expounds on the particular characteristics of the facility. This details the type of the healthcare institution as well as the services that it administers. It also contains the utilization data as well as the costs and charges by cost center.</w:t>
      </w:r>
      <w:r w:rsidR="00A41C1A">
        <w:t xml:space="preserve"> The costs and charges should be recorded both as total costs and for Medicare. The Medicare cost report also outlines the Medicare Settlement data. Last but not least, the cost report contains the financial statement data for the particular entity. This will include the statement of operations that highlights the hospitals financial performance, a balance sheet that shows the firm’s financial position as well as a statement of cash flows. The Medicare cost report is important for the hospital’s net revenues as it helps the firm in pricing of its services and benchmarking against other service providers to ensure that it offers its products competitively. It also assists the hospitals in internal financial analysis that can help address various concerns such as declining revenues.</w:t>
      </w:r>
    </w:p>
    <w:p w:rsidR="007E0F5F" w:rsidRDefault="007E0F5F" w:rsidP="00E11453">
      <w:pPr>
        <w:spacing w:after="0"/>
      </w:pPr>
    </w:p>
    <w:p w:rsidR="007E0F5F" w:rsidRPr="009F140B" w:rsidRDefault="007E0F5F" w:rsidP="00E11453">
      <w:pPr>
        <w:spacing w:after="0"/>
        <w:jc w:val="both"/>
        <w:rPr>
          <w:b/>
        </w:rPr>
      </w:pPr>
      <w:r w:rsidRPr="009F140B">
        <w:rPr>
          <w:b/>
        </w:rPr>
        <w:lastRenderedPageBreak/>
        <w:t>Question 4; Explain how the PPACA rewards and punishes hospitals for their performance</w:t>
      </w:r>
    </w:p>
    <w:p w:rsidR="00A43F44" w:rsidRDefault="0056472F" w:rsidP="00E11453">
      <w:pPr>
        <w:spacing w:after="0"/>
        <w:ind w:firstLine="720"/>
        <w:jc w:val="both"/>
      </w:pPr>
      <w:r>
        <w:t>The patient protection and affordable care act, popularly known as ‘Obamacare’ is a healthcare initiative that provides subsidies to middle income families and extends Medicaid to low income people by taxing some healthcare providers and high net-worth households</w:t>
      </w:r>
      <w:r w:rsidR="00923039">
        <w:t xml:space="preserve"> (</w:t>
      </w:r>
      <w:proofErr w:type="spellStart"/>
      <w:r w:rsidR="00923039">
        <w:t>Adkinson</w:t>
      </w:r>
      <w:proofErr w:type="spellEnd"/>
      <w:r w:rsidR="009F140B">
        <w:t>,</w:t>
      </w:r>
      <w:r w:rsidR="00923039">
        <w:t xml:space="preserve"> 2016</w:t>
      </w:r>
      <w:r w:rsidR="009F140B">
        <w:t>).</w:t>
      </w:r>
      <w:r>
        <w:t xml:space="preserve"> It mandates everyone to get health insurance or pay a tax and provides incentives and cautions hospitals on their performance.</w:t>
      </w:r>
    </w:p>
    <w:p w:rsidR="007E0F5F" w:rsidRDefault="0056472F" w:rsidP="00E11453">
      <w:pPr>
        <w:spacing w:after="0"/>
        <w:ind w:firstLine="720"/>
        <w:jc w:val="both"/>
      </w:pPr>
      <w:r>
        <w:t xml:space="preserve"> The PPACA punishes hospitals for providing substandard healthcare services by withholding Medicare payments from hospitals that have a high number of patients returning within 30 days of being discharged for specific conditions such as cardiac arrests or pneumonia</w:t>
      </w:r>
      <w:r w:rsidR="00923039">
        <w:t xml:space="preserve"> (Kahn 2014)</w:t>
      </w:r>
      <w:r>
        <w:t xml:space="preserve">. This has proved effective as hospitals have been more thorough with follow ups after patients leave the hospitals to ensure that there isn’t a relapse of their conditions. </w:t>
      </w:r>
      <w:r w:rsidR="00A43F44">
        <w:t xml:space="preserve"> Hospitals that have posted poor performance have also been slapped with punitive financial penalties</w:t>
      </w:r>
      <w:r w:rsidR="00923039">
        <w:t xml:space="preserve"> (</w:t>
      </w:r>
      <w:proofErr w:type="spellStart"/>
      <w:r w:rsidR="00923039">
        <w:t>kahn</w:t>
      </w:r>
      <w:proofErr w:type="spellEnd"/>
      <w:r w:rsidR="009F140B">
        <w:t>,</w:t>
      </w:r>
      <w:r w:rsidR="00923039">
        <w:t xml:space="preserve"> 2014)</w:t>
      </w:r>
      <w:r w:rsidR="00A43F44">
        <w:t>. For example, hospitals with high infection rates of patients while in hospital have their federal reimbursement cut by a percentage point. Hospitals have also been rewarded for being agile and innovative by receiving greater amounts of grants and revenues from the federal government</w:t>
      </w:r>
      <w:r w:rsidR="00923039">
        <w:t xml:space="preserve"> (Kahn 2014)</w:t>
      </w:r>
      <w:r w:rsidR="00A43F44">
        <w:t xml:space="preserve">. This has had an effect of reducing ineffective standalone hospital models and increasing mobile clinics and urgent care centers. Lastly, </w:t>
      </w:r>
      <w:r w:rsidR="00425BC3">
        <w:t>hospitals in the top-tier performance are rewarded with bonus payments.</w:t>
      </w:r>
    </w:p>
    <w:p w:rsidR="00425BC3" w:rsidRDefault="00425BC3" w:rsidP="00E11453">
      <w:pPr>
        <w:spacing w:after="0"/>
        <w:ind w:firstLine="720"/>
      </w:pPr>
    </w:p>
    <w:p w:rsidR="009F140B" w:rsidRDefault="009F140B" w:rsidP="00E11453">
      <w:pPr>
        <w:spacing w:after="0"/>
      </w:pPr>
      <w:r>
        <w:br w:type="page"/>
      </w:r>
    </w:p>
    <w:p w:rsidR="00425BC3" w:rsidRPr="00425BC3" w:rsidRDefault="00425BC3" w:rsidP="00E11453">
      <w:pPr>
        <w:shd w:val="clear" w:color="auto" w:fill="FFFFFF"/>
        <w:spacing w:after="0"/>
        <w:jc w:val="center"/>
        <w:rPr>
          <w:rFonts w:eastAsia="Times New Roman" w:cs="Times New Roman"/>
          <w:color w:val="000000"/>
          <w:szCs w:val="24"/>
        </w:rPr>
      </w:pPr>
      <w:r w:rsidRPr="00425BC3">
        <w:rPr>
          <w:rFonts w:eastAsia="Times New Roman" w:cs="Times New Roman"/>
          <w:color w:val="000000"/>
          <w:szCs w:val="24"/>
        </w:rPr>
        <w:lastRenderedPageBreak/>
        <w:t>References</w:t>
      </w:r>
    </w:p>
    <w:p w:rsidR="00425BC3" w:rsidRPr="00425BC3" w:rsidRDefault="00425BC3" w:rsidP="00E11453">
      <w:pPr>
        <w:shd w:val="clear" w:color="auto" w:fill="FFFFFF"/>
        <w:spacing w:after="0"/>
        <w:ind w:left="720" w:right="75" w:hanging="720"/>
        <w:rPr>
          <w:rFonts w:eastAsia="Times New Roman" w:cs="Times New Roman"/>
          <w:color w:val="000000"/>
          <w:szCs w:val="24"/>
        </w:rPr>
      </w:pPr>
      <w:proofErr w:type="spellStart"/>
      <w:r w:rsidRPr="00425BC3">
        <w:rPr>
          <w:rFonts w:eastAsia="Times New Roman" w:cs="Times New Roman"/>
          <w:color w:val="000000"/>
          <w:szCs w:val="24"/>
        </w:rPr>
        <w:t>Adkinson</w:t>
      </w:r>
      <w:proofErr w:type="spellEnd"/>
      <w:r w:rsidRPr="00425BC3">
        <w:rPr>
          <w:rFonts w:eastAsia="Times New Roman" w:cs="Times New Roman"/>
          <w:color w:val="000000"/>
          <w:szCs w:val="24"/>
        </w:rPr>
        <w:t>, J. M., &amp; Chung, K. C. (2016, October 15). The Patient Protection and Affordable Care Act: A Primer for Hand Surgeons. Retrieved from https://www.ncbi.nlm.nih.gov/pmc/articles/PMC4260450/</w:t>
      </w:r>
    </w:p>
    <w:p w:rsidR="00425BC3" w:rsidRPr="00425BC3" w:rsidRDefault="00425BC3" w:rsidP="00E11453">
      <w:pPr>
        <w:shd w:val="clear" w:color="auto" w:fill="FFFFFF"/>
        <w:spacing w:after="0"/>
        <w:ind w:left="720" w:right="75" w:hanging="720"/>
        <w:rPr>
          <w:rFonts w:eastAsia="Times New Roman" w:cs="Times New Roman"/>
          <w:color w:val="000000"/>
          <w:szCs w:val="24"/>
        </w:rPr>
      </w:pPr>
      <w:r w:rsidRPr="00425BC3">
        <w:rPr>
          <w:rFonts w:eastAsia="Times New Roman" w:cs="Times New Roman"/>
          <w:color w:val="000000"/>
          <w:szCs w:val="24"/>
        </w:rPr>
        <w:t>Kahn, J. M. (2014, December 14). Linking Payment to Quality Opportunities and Challenges for Critical Care. Retrieved from https://www.atsjournals.org/doi/full/10.1164/rccm.201106-1104ED</w:t>
      </w:r>
    </w:p>
    <w:p w:rsidR="00425BC3" w:rsidRPr="00425BC3" w:rsidRDefault="00425BC3" w:rsidP="00E11453">
      <w:pPr>
        <w:shd w:val="clear" w:color="auto" w:fill="FFFFFF"/>
        <w:spacing w:after="0"/>
        <w:ind w:left="720" w:right="75" w:hanging="720"/>
        <w:rPr>
          <w:rFonts w:eastAsia="Times New Roman" w:cs="Times New Roman"/>
          <w:color w:val="000000"/>
          <w:szCs w:val="24"/>
        </w:rPr>
      </w:pPr>
      <w:proofErr w:type="spellStart"/>
      <w:r w:rsidRPr="00425BC3">
        <w:rPr>
          <w:rFonts w:eastAsia="Times New Roman" w:cs="Times New Roman"/>
          <w:color w:val="000000"/>
          <w:szCs w:val="24"/>
        </w:rPr>
        <w:t>Mangus</w:t>
      </w:r>
      <w:proofErr w:type="spellEnd"/>
      <w:r w:rsidRPr="00425BC3">
        <w:rPr>
          <w:rFonts w:eastAsia="Times New Roman" w:cs="Times New Roman"/>
          <w:color w:val="000000"/>
          <w:szCs w:val="24"/>
        </w:rPr>
        <w:t xml:space="preserve">, S. A., &amp; Smith, D. G. (2015, March 14). Better Medicare Cost Report Data </w:t>
      </w:r>
      <w:proofErr w:type="gramStart"/>
      <w:r w:rsidRPr="00425BC3">
        <w:rPr>
          <w:rFonts w:eastAsia="Times New Roman" w:cs="Times New Roman"/>
          <w:color w:val="000000"/>
          <w:szCs w:val="24"/>
        </w:rPr>
        <w:t>are</w:t>
      </w:r>
      <w:proofErr w:type="gramEnd"/>
      <w:r w:rsidRPr="00425BC3">
        <w:rPr>
          <w:rFonts w:eastAsia="Times New Roman" w:cs="Times New Roman"/>
          <w:color w:val="000000"/>
          <w:szCs w:val="24"/>
        </w:rPr>
        <w:t xml:space="preserve"> Needed to Help</w:t>
      </w:r>
      <w:r w:rsidR="009F140B" w:rsidRPr="00425BC3">
        <w:rPr>
          <w:rFonts w:eastAsia="Times New Roman" w:cs="Times New Roman"/>
          <w:color w:val="000000"/>
          <w:szCs w:val="24"/>
        </w:rPr>
        <w:t>...:</w:t>
      </w:r>
      <w:r w:rsidRPr="00425BC3">
        <w:rPr>
          <w:rFonts w:eastAsia="Times New Roman" w:cs="Times New Roman"/>
          <w:color w:val="000000"/>
          <w:szCs w:val="24"/>
        </w:rPr>
        <w:t xml:space="preserve"> Health Care Management Review. Retrieved from https://journals.lww.com/hcmrjournal/Fulltext/2000/10000/Better_Medicare_Cost_Report_Data_are_Needed_to.6.aspx</w:t>
      </w:r>
    </w:p>
    <w:p w:rsidR="00425BC3" w:rsidRPr="00425BC3" w:rsidRDefault="00425BC3" w:rsidP="00E11453">
      <w:pPr>
        <w:shd w:val="clear" w:color="auto" w:fill="FFFFFF"/>
        <w:spacing w:after="0"/>
        <w:ind w:left="720" w:right="75" w:hanging="720"/>
        <w:rPr>
          <w:rFonts w:eastAsia="Times New Roman" w:cs="Times New Roman"/>
          <w:color w:val="000000"/>
          <w:szCs w:val="24"/>
        </w:rPr>
      </w:pPr>
      <w:proofErr w:type="spellStart"/>
      <w:r w:rsidRPr="00425BC3">
        <w:rPr>
          <w:rFonts w:eastAsia="Times New Roman" w:cs="Times New Roman"/>
          <w:color w:val="000000"/>
          <w:szCs w:val="24"/>
        </w:rPr>
        <w:t>Sigidov</w:t>
      </w:r>
      <w:proofErr w:type="spellEnd"/>
      <w:r w:rsidRPr="00425BC3">
        <w:rPr>
          <w:rFonts w:eastAsia="Times New Roman" w:cs="Times New Roman"/>
          <w:color w:val="000000"/>
          <w:szCs w:val="24"/>
        </w:rPr>
        <w:t xml:space="preserve">, Y. I., &amp; </w:t>
      </w:r>
      <w:proofErr w:type="spellStart"/>
      <w:r w:rsidRPr="00425BC3">
        <w:rPr>
          <w:rFonts w:eastAsia="Times New Roman" w:cs="Times New Roman"/>
          <w:color w:val="000000"/>
          <w:szCs w:val="24"/>
        </w:rPr>
        <w:t>Korovina</w:t>
      </w:r>
      <w:proofErr w:type="spellEnd"/>
      <w:r w:rsidRPr="00425BC3">
        <w:rPr>
          <w:rFonts w:eastAsia="Times New Roman" w:cs="Times New Roman"/>
          <w:color w:val="000000"/>
          <w:szCs w:val="24"/>
        </w:rPr>
        <w:t>, M. A. (2016, September 1). Creation of Provision for Doubtful Debts. Retrieved from http://dergipark.gov.tr/ijefi/issue/32045/354684</w:t>
      </w:r>
    </w:p>
    <w:p w:rsidR="00425BC3" w:rsidRDefault="00425BC3" w:rsidP="00E11453">
      <w:pPr>
        <w:spacing w:after="0"/>
        <w:ind w:firstLine="720"/>
      </w:pPr>
    </w:p>
    <w:p w:rsidR="00425BC3" w:rsidRDefault="00425BC3" w:rsidP="00E11453">
      <w:pPr>
        <w:spacing w:after="0"/>
        <w:ind w:firstLine="720"/>
      </w:pPr>
    </w:p>
    <w:p w:rsidR="00D8187D" w:rsidRPr="00AA7511" w:rsidRDefault="00D8187D" w:rsidP="00E11453">
      <w:pPr>
        <w:pStyle w:val="ListParagraph"/>
        <w:spacing w:after="0"/>
        <w:ind w:left="2160"/>
      </w:pPr>
    </w:p>
    <w:sectPr w:rsidR="00D8187D" w:rsidRPr="00AA7511" w:rsidSect="00314802">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50EE" w:rsidRDefault="00F750EE">
      <w:pPr>
        <w:spacing w:after="0" w:line="240" w:lineRule="auto"/>
      </w:pPr>
      <w:r>
        <w:separator/>
      </w:r>
    </w:p>
  </w:endnote>
  <w:endnote w:type="continuationSeparator" w:id="0">
    <w:p w:rsidR="00F750EE" w:rsidRDefault="00F750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50EE" w:rsidRDefault="00F750EE">
      <w:pPr>
        <w:spacing w:after="0" w:line="240" w:lineRule="auto"/>
      </w:pPr>
      <w:r>
        <w:separator/>
      </w:r>
    </w:p>
  </w:footnote>
  <w:footnote w:type="continuationSeparator" w:id="0">
    <w:p w:rsidR="00F750EE" w:rsidRDefault="00F750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1FC2" w:rsidRDefault="009F140B">
    <w:pPr>
      <w:pStyle w:val="Header"/>
    </w:pPr>
    <w:r>
      <w:t>FINANCE ASSIGNMENT</w:t>
    </w:r>
    <w:r>
      <w:tab/>
    </w:r>
    <w:r>
      <w:tab/>
    </w:r>
    <w:r w:rsidR="001E3DE4">
      <w:fldChar w:fldCharType="begin"/>
    </w:r>
    <w:r w:rsidR="001E3DE4">
      <w:instrText xml:space="preserve"> PAGE   \* MERGEFORMAT </w:instrText>
    </w:r>
    <w:r w:rsidR="001E3DE4">
      <w:fldChar w:fldCharType="separate"/>
    </w:r>
    <w:r w:rsidR="00E11453">
      <w:rPr>
        <w:noProof/>
      </w:rPr>
      <w:t>2</w:t>
    </w:r>
    <w:r w:rsidR="001E3DE4">
      <w:rPr>
        <w:noProof/>
      </w:rPr>
      <w:fldChar w:fldCharType="end"/>
    </w:r>
  </w:p>
  <w:p w:rsidR="00D11FC2" w:rsidRDefault="00D11FC2">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1FC2" w:rsidRDefault="00D11FC2">
    <w:pPr>
      <w:pStyle w:val="Header"/>
    </w:pPr>
    <w:r>
      <w:t xml:space="preserve">Running head: </w:t>
    </w:r>
    <w:r w:rsidR="009F140B">
      <w:t>FINANCE ASSIGNMENT</w:t>
    </w:r>
    <w:r w:rsidR="009F140B">
      <w:tab/>
    </w:r>
    <w:r w:rsidR="009F140B">
      <w:tab/>
    </w:r>
    <w:r w:rsidR="009F140B">
      <w:fldChar w:fldCharType="begin"/>
    </w:r>
    <w:r w:rsidR="009F140B">
      <w:instrText xml:space="preserve"> PAGE   \* MERGEFORMAT </w:instrText>
    </w:r>
    <w:r w:rsidR="009F140B">
      <w:fldChar w:fldCharType="separate"/>
    </w:r>
    <w:r w:rsidR="00E11453">
      <w:rPr>
        <w:noProof/>
      </w:rPr>
      <w:t>1</w:t>
    </w:r>
    <w:r w:rsidR="009F140B">
      <w:rPr>
        <w:noProof/>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873CC"/>
    <w:multiLevelType w:val="hybridMultilevel"/>
    <w:tmpl w:val="A7D4FC42"/>
    <w:lvl w:ilvl="0" w:tplc="CB1ED1C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A906FA"/>
    <w:multiLevelType w:val="hybridMultilevel"/>
    <w:tmpl w:val="A96CFD80"/>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 w15:restartNumberingAfterBreak="0">
    <w:nsid w:val="05C17F17"/>
    <w:multiLevelType w:val="hybridMultilevel"/>
    <w:tmpl w:val="87544026"/>
    <w:lvl w:ilvl="0" w:tplc="94B2D636">
      <w:start w:val="2"/>
      <w:numFmt w:val="bullet"/>
      <w:lvlText w:val="-"/>
      <w:lvlJc w:val="left"/>
      <w:pPr>
        <w:ind w:left="2160" w:hanging="360"/>
      </w:pPr>
      <w:rPr>
        <w:rFonts w:ascii="Times New Roman" w:eastAsia="Calibri" w:hAnsi="Times New Roman" w:cs="Times New Roman"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08BA0875"/>
    <w:multiLevelType w:val="hybridMultilevel"/>
    <w:tmpl w:val="9C643AB8"/>
    <w:lvl w:ilvl="0" w:tplc="CA2A20D2">
      <w:start w:val="1"/>
      <w:numFmt w:val="lowerLetter"/>
      <w:lvlText w:val="%1.)"/>
      <w:lvlJc w:val="left"/>
      <w:pPr>
        <w:ind w:left="420" w:hanging="360"/>
      </w:pPr>
      <w:rPr>
        <w:rFonts w:eastAsia="Times New Roman" w:cs="Times New Roman" w:hint="default"/>
        <w:color w:val="000000"/>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4" w15:restartNumberingAfterBreak="0">
    <w:nsid w:val="0F39300B"/>
    <w:multiLevelType w:val="hybridMultilevel"/>
    <w:tmpl w:val="A3E885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95454D7"/>
    <w:multiLevelType w:val="hybridMultilevel"/>
    <w:tmpl w:val="F350DBE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41EA60AA"/>
    <w:multiLevelType w:val="hybridMultilevel"/>
    <w:tmpl w:val="07024D92"/>
    <w:lvl w:ilvl="0" w:tplc="8DE2BFA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3D50835"/>
    <w:multiLevelType w:val="hybridMultilevel"/>
    <w:tmpl w:val="3724D7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4A95040D"/>
    <w:multiLevelType w:val="hybridMultilevel"/>
    <w:tmpl w:val="3848790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53580EA2"/>
    <w:multiLevelType w:val="hybridMultilevel"/>
    <w:tmpl w:val="6890F24A"/>
    <w:lvl w:ilvl="0" w:tplc="61FA3736">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6A77377F"/>
    <w:multiLevelType w:val="hybridMultilevel"/>
    <w:tmpl w:val="71762BF0"/>
    <w:lvl w:ilvl="0" w:tplc="DA2692B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CBF0180"/>
    <w:multiLevelType w:val="hybridMultilevel"/>
    <w:tmpl w:val="A9CEEA24"/>
    <w:lvl w:ilvl="0" w:tplc="EF3099C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7E5B37C9"/>
    <w:multiLevelType w:val="hybridMultilevel"/>
    <w:tmpl w:val="05107B40"/>
    <w:lvl w:ilvl="0" w:tplc="2578C0C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7"/>
  </w:num>
  <w:num w:numId="3">
    <w:abstractNumId w:val="5"/>
  </w:num>
  <w:num w:numId="4">
    <w:abstractNumId w:val="4"/>
  </w:num>
  <w:num w:numId="5">
    <w:abstractNumId w:val="6"/>
  </w:num>
  <w:num w:numId="6">
    <w:abstractNumId w:val="8"/>
  </w:num>
  <w:num w:numId="7">
    <w:abstractNumId w:val="11"/>
  </w:num>
  <w:num w:numId="8">
    <w:abstractNumId w:val="0"/>
  </w:num>
  <w:num w:numId="9">
    <w:abstractNumId w:val="3"/>
  </w:num>
  <w:num w:numId="10">
    <w:abstractNumId w:val="10"/>
  </w:num>
  <w:num w:numId="11">
    <w:abstractNumId w:val="9"/>
  </w:num>
  <w:num w:numId="12">
    <w:abstractNumId w:val="1"/>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4EFF"/>
    <w:rsid w:val="00015DD0"/>
    <w:rsid w:val="00033EB6"/>
    <w:rsid w:val="00047115"/>
    <w:rsid w:val="00063177"/>
    <w:rsid w:val="0007226F"/>
    <w:rsid w:val="000A6A7D"/>
    <w:rsid w:val="000D301B"/>
    <w:rsid w:val="00137312"/>
    <w:rsid w:val="00140EB8"/>
    <w:rsid w:val="0015010F"/>
    <w:rsid w:val="00156C05"/>
    <w:rsid w:val="00156F9E"/>
    <w:rsid w:val="0018123F"/>
    <w:rsid w:val="001834F5"/>
    <w:rsid w:val="001B3499"/>
    <w:rsid w:val="001E37F0"/>
    <w:rsid w:val="001E3D52"/>
    <w:rsid w:val="001E3DE4"/>
    <w:rsid w:val="00214C0C"/>
    <w:rsid w:val="00233478"/>
    <w:rsid w:val="00236A7F"/>
    <w:rsid w:val="00253CA0"/>
    <w:rsid w:val="002579BE"/>
    <w:rsid w:val="002E6B08"/>
    <w:rsid w:val="00314802"/>
    <w:rsid w:val="00330062"/>
    <w:rsid w:val="00333160"/>
    <w:rsid w:val="00377D04"/>
    <w:rsid w:val="003844F6"/>
    <w:rsid w:val="003A04E9"/>
    <w:rsid w:val="003C22A3"/>
    <w:rsid w:val="003F1D04"/>
    <w:rsid w:val="003F4AC8"/>
    <w:rsid w:val="00405BEE"/>
    <w:rsid w:val="004172A4"/>
    <w:rsid w:val="00425BC3"/>
    <w:rsid w:val="0044632B"/>
    <w:rsid w:val="00451E25"/>
    <w:rsid w:val="00457F4B"/>
    <w:rsid w:val="00467881"/>
    <w:rsid w:val="004723A4"/>
    <w:rsid w:val="00481EB7"/>
    <w:rsid w:val="00482E61"/>
    <w:rsid w:val="004B2230"/>
    <w:rsid w:val="0051278F"/>
    <w:rsid w:val="00535967"/>
    <w:rsid w:val="0056472F"/>
    <w:rsid w:val="00567572"/>
    <w:rsid w:val="00567C79"/>
    <w:rsid w:val="00570F95"/>
    <w:rsid w:val="005718AB"/>
    <w:rsid w:val="005739A5"/>
    <w:rsid w:val="00592575"/>
    <w:rsid w:val="00595A72"/>
    <w:rsid w:val="005975BF"/>
    <w:rsid w:val="005B50D5"/>
    <w:rsid w:val="005C2B4D"/>
    <w:rsid w:val="005D73CF"/>
    <w:rsid w:val="00613082"/>
    <w:rsid w:val="0064058E"/>
    <w:rsid w:val="00690320"/>
    <w:rsid w:val="006A0E3F"/>
    <w:rsid w:val="006A558D"/>
    <w:rsid w:val="006A5F57"/>
    <w:rsid w:val="006C0CB4"/>
    <w:rsid w:val="006F0106"/>
    <w:rsid w:val="006F492F"/>
    <w:rsid w:val="0070007E"/>
    <w:rsid w:val="00701DC6"/>
    <w:rsid w:val="0071137A"/>
    <w:rsid w:val="007174C8"/>
    <w:rsid w:val="007335F5"/>
    <w:rsid w:val="007337BE"/>
    <w:rsid w:val="00733988"/>
    <w:rsid w:val="00745EDA"/>
    <w:rsid w:val="007537CC"/>
    <w:rsid w:val="00787F90"/>
    <w:rsid w:val="007C1012"/>
    <w:rsid w:val="007C4AE6"/>
    <w:rsid w:val="007D6BF2"/>
    <w:rsid w:val="007E0F5F"/>
    <w:rsid w:val="00811FF7"/>
    <w:rsid w:val="00814D7A"/>
    <w:rsid w:val="00820937"/>
    <w:rsid w:val="00822122"/>
    <w:rsid w:val="0083029F"/>
    <w:rsid w:val="0083108C"/>
    <w:rsid w:val="00841408"/>
    <w:rsid w:val="008422D7"/>
    <w:rsid w:val="00867C60"/>
    <w:rsid w:val="008B4AD5"/>
    <w:rsid w:val="008B5D47"/>
    <w:rsid w:val="008C7B27"/>
    <w:rsid w:val="008C7E6A"/>
    <w:rsid w:val="008E32C5"/>
    <w:rsid w:val="00923039"/>
    <w:rsid w:val="0094343A"/>
    <w:rsid w:val="00991369"/>
    <w:rsid w:val="009B10FF"/>
    <w:rsid w:val="009B4A4C"/>
    <w:rsid w:val="009B4EB9"/>
    <w:rsid w:val="009C2D4B"/>
    <w:rsid w:val="009C7FAF"/>
    <w:rsid w:val="009D3419"/>
    <w:rsid w:val="009F140B"/>
    <w:rsid w:val="00A20ACF"/>
    <w:rsid w:val="00A27F8D"/>
    <w:rsid w:val="00A30367"/>
    <w:rsid w:val="00A41C1A"/>
    <w:rsid w:val="00A43F44"/>
    <w:rsid w:val="00A45DEA"/>
    <w:rsid w:val="00A63B5F"/>
    <w:rsid w:val="00A83657"/>
    <w:rsid w:val="00A836B4"/>
    <w:rsid w:val="00A90044"/>
    <w:rsid w:val="00A9450F"/>
    <w:rsid w:val="00AA29DA"/>
    <w:rsid w:val="00AA7511"/>
    <w:rsid w:val="00AB3625"/>
    <w:rsid w:val="00AE08BB"/>
    <w:rsid w:val="00B03163"/>
    <w:rsid w:val="00B0456C"/>
    <w:rsid w:val="00B106FF"/>
    <w:rsid w:val="00B22054"/>
    <w:rsid w:val="00B258C4"/>
    <w:rsid w:val="00B31366"/>
    <w:rsid w:val="00B5203D"/>
    <w:rsid w:val="00B541E8"/>
    <w:rsid w:val="00B71300"/>
    <w:rsid w:val="00B85352"/>
    <w:rsid w:val="00B87CFF"/>
    <w:rsid w:val="00B91EAD"/>
    <w:rsid w:val="00BE236F"/>
    <w:rsid w:val="00BE7549"/>
    <w:rsid w:val="00BF6421"/>
    <w:rsid w:val="00C14EFF"/>
    <w:rsid w:val="00C167C3"/>
    <w:rsid w:val="00C2372D"/>
    <w:rsid w:val="00C341BC"/>
    <w:rsid w:val="00C3769E"/>
    <w:rsid w:val="00C51597"/>
    <w:rsid w:val="00C700A7"/>
    <w:rsid w:val="00C807CE"/>
    <w:rsid w:val="00CA6866"/>
    <w:rsid w:val="00CC5BAC"/>
    <w:rsid w:val="00CC73CE"/>
    <w:rsid w:val="00CF0EF8"/>
    <w:rsid w:val="00CF259B"/>
    <w:rsid w:val="00D11FC2"/>
    <w:rsid w:val="00D24B65"/>
    <w:rsid w:val="00D56105"/>
    <w:rsid w:val="00D5629B"/>
    <w:rsid w:val="00D713C6"/>
    <w:rsid w:val="00D8187D"/>
    <w:rsid w:val="00DE169C"/>
    <w:rsid w:val="00DE206A"/>
    <w:rsid w:val="00E001A0"/>
    <w:rsid w:val="00E015DA"/>
    <w:rsid w:val="00E03243"/>
    <w:rsid w:val="00E11453"/>
    <w:rsid w:val="00E1307E"/>
    <w:rsid w:val="00E36EA3"/>
    <w:rsid w:val="00E50F6D"/>
    <w:rsid w:val="00EC759D"/>
    <w:rsid w:val="00ED34B1"/>
    <w:rsid w:val="00ED3576"/>
    <w:rsid w:val="00EF19DA"/>
    <w:rsid w:val="00F061EF"/>
    <w:rsid w:val="00F31D9F"/>
    <w:rsid w:val="00F50F0B"/>
    <w:rsid w:val="00F67E0C"/>
    <w:rsid w:val="00F750EE"/>
    <w:rsid w:val="00F846AF"/>
    <w:rsid w:val="00F864E6"/>
    <w:rsid w:val="00F946B8"/>
    <w:rsid w:val="00FA61E3"/>
    <w:rsid w:val="00FA7D37"/>
    <w:rsid w:val="00FB1B05"/>
    <w:rsid w:val="00FB5E52"/>
    <w:rsid w:val="00FC1160"/>
    <w:rsid w:val="00FD3C05"/>
    <w:rsid w:val="00FE4298"/>
    <w:rsid w:val="00FE6CBF"/>
    <w:rsid w:val="00FF47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14971"/>
  <w15:docId w15:val="{5B94D8C2-CF38-472E-98B7-1B27C15604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SimSun"/>
        <w:sz w:val="24"/>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4802"/>
  </w:style>
  <w:style w:type="paragraph" w:styleId="Heading1">
    <w:name w:val="heading 1"/>
    <w:basedOn w:val="Normal"/>
    <w:next w:val="Normal"/>
    <w:link w:val="Heading1Char"/>
    <w:uiPriority w:val="9"/>
    <w:qFormat/>
    <w:rsid w:val="00314802"/>
    <w:pPr>
      <w:keepNext/>
      <w:keepLines/>
      <w:spacing w:before="240" w:after="0" w:line="259" w:lineRule="auto"/>
      <w:outlineLvl w:val="0"/>
    </w:pPr>
    <w:rPr>
      <w:rFonts w:ascii="Calibri Light" w:eastAsia="SimSun" w:hAnsi="Calibri Light"/>
      <w:color w:val="2F5496"/>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148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4802"/>
  </w:style>
  <w:style w:type="paragraph" w:styleId="Footer">
    <w:name w:val="footer"/>
    <w:basedOn w:val="Normal"/>
    <w:link w:val="FooterChar"/>
    <w:uiPriority w:val="99"/>
    <w:rsid w:val="003148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4802"/>
  </w:style>
  <w:style w:type="character" w:customStyle="1" w:styleId="Heading1Char">
    <w:name w:val="Heading 1 Char"/>
    <w:basedOn w:val="DefaultParagraphFont"/>
    <w:link w:val="Heading1"/>
    <w:uiPriority w:val="9"/>
    <w:rsid w:val="00314802"/>
    <w:rPr>
      <w:rFonts w:ascii="Calibri Light" w:eastAsia="SimSun" w:hAnsi="Calibri Light" w:cs="SimSun"/>
      <w:color w:val="2F5496"/>
      <w:sz w:val="32"/>
      <w:szCs w:val="32"/>
    </w:rPr>
  </w:style>
  <w:style w:type="paragraph" w:styleId="Bibliography">
    <w:name w:val="Bibliography"/>
    <w:basedOn w:val="Normal"/>
    <w:next w:val="Normal"/>
    <w:uiPriority w:val="37"/>
    <w:rsid w:val="00314802"/>
  </w:style>
  <w:style w:type="paragraph" w:styleId="ListParagraph">
    <w:name w:val="List Paragraph"/>
    <w:basedOn w:val="Normal"/>
    <w:uiPriority w:val="34"/>
    <w:qFormat/>
    <w:rsid w:val="00457F4B"/>
    <w:pPr>
      <w:ind w:left="720"/>
      <w:contextualSpacing/>
    </w:pPr>
  </w:style>
  <w:style w:type="paragraph" w:customStyle="1" w:styleId="cpformat">
    <w:name w:val="cpformat"/>
    <w:basedOn w:val="Normal"/>
    <w:rsid w:val="005D73CF"/>
    <w:pPr>
      <w:spacing w:before="100" w:beforeAutospacing="1" w:after="100" w:afterAutospacing="1" w:line="240" w:lineRule="auto"/>
    </w:pPr>
    <w:rPr>
      <w:rFonts w:eastAsia="Times New Roman" w:cs="Times New Roman"/>
      <w:szCs w:val="24"/>
    </w:rPr>
  </w:style>
  <w:style w:type="character" w:styleId="Hyperlink">
    <w:name w:val="Hyperlink"/>
    <w:basedOn w:val="DefaultParagraphFont"/>
    <w:uiPriority w:val="99"/>
    <w:unhideWhenUsed/>
    <w:rsid w:val="00CC5BAC"/>
    <w:rPr>
      <w:color w:val="0000FF" w:themeColor="hyperlink"/>
      <w:u w:val="single"/>
    </w:rPr>
  </w:style>
  <w:style w:type="paragraph" w:customStyle="1" w:styleId="body">
    <w:name w:val="body"/>
    <w:basedOn w:val="Normal"/>
    <w:rsid w:val="0015010F"/>
    <w:pPr>
      <w:spacing w:before="100" w:beforeAutospacing="1" w:after="100" w:afterAutospacing="1" w:line="240" w:lineRule="auto"/>
    </w:pPr>
    <w:rPr>
      <w:rFonts w:ascii="Verdana" w:eastAsia="Times New Roman" w:hAnsi="Verdana" w:cs="Times New Roman"/>
      <w:sz w:val="20"/>
      <w:szCs w:val="20"/>
    </w:rPr>
  </w:style>
  <w:style w:type="character" w:customStyle="1" w:styleId="body1">
    <w:name w:val="body1"/>
    <w:basedOn w:val="DefaultParagraphFont"/>
    <w:rsid w:val="0015010F"/>
    <w:rPr>
      <w:rFonts w:ascii="Verdana" w:hAnsi="Verdana" w:hint="default"/>
      <w:b w:val="0"/>
      <w:bCs w:val="0"/>
      <w:sz w:val="20"/>
      <w:szCs w:val="20"/>
    </w:rPr>
  </w:style>
  <w:style w:type="paragraph" w:styleId="BalloonText">
    <w:name w:val="Balloon Text"/>
    <w:basedOn w:val="Normal"/>
    <w:link w:val="BalloonTextChar"/>
    <w:uiPriority w:val="99"/>
    <w:semiHidden/>
    <w:unhideWhenUsed/>
    <w:rsid w:val="00482E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2E6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82745">
      <w:bodyDiv w:val="1"/>
      <w:marLeft w:val="0"/>
      <w:marRight w:val="0"/>
      <w:marTop w:val="0"/>
      <w:marBottom w:val="0"/>
      <w:divBdr>
        <w:top w:val="none" w:sz="0" w:space="0" w:color="auto"/>
        <w:left w:val="none" w:sz="0" w:space="0" w:color="auto"/>
        <w:bottom w:val="none" w:sz="0" w:space="0" w:color="auto"/>
        <w:right w:val="none" w:sz="0" w:space="0" w:color="auto"/>
      </w:divBdr>
    </w:div>
    <w:div w:id="87192319">
      <w:bodyDiv w:val="1"/>
      <w:marLeft w:val="0"/>
      <w:marRight w:val="0"/>
      <w:marTop w:val="0"/>
      <w:marBottom w:val="0"/>
      <w:divBdr>
        <w:top w:val="none" w:sz="0" w:space="0" w:color="auto"/>
        <w:left w:val="none" w:sz="0" w:space="0" w:color="auto"/>
        <w:bottom w:val="none" w:sz="0" w:space="0" w:color="auto"/>
        <w:right w:val="none" w:sz="0" w:space="0" w:color="auto"/>
      </w:divBdr>
    </w:div>
    <w:div w:id="112947288">
      <w:bodyDiv w:val="1"/>
      <w:marLeft w:val="0"/>
      <w:marRight w:val="0"/>
      <w:marTop w:val="0"/>
      <w:marBottom w:val="0"/>
      <w:divBdr>
        <w:top w:val="none" w:sz="0" w:space="0" w:color="auto"/>
        <w:left w:val="none" w:sz="0" w:space="0" w:color="auto"/>
        <w:bottom w:val="none" w:sz="0" w:space="0" w:color="auto"/>
        <w:right w:val="none" w:sz="0" w:space="0" w:color="auto"/>
      </w:divBdr>
    </w:div>
    <w:div w:id="127474138">
      <w:bodyDiv w:val="1"/>
      <w:marLeft w:val="0"/>
      <w:marRight w:val="0"/>
      <w:marTop w:val="0"/>
      <w:marBottom w:val="0"/>
      <w:divBdr>
        <w:top w:val="none" w:sz="0" w:space="0" w:color="auto"/>
        <w:left w:val="none" w:sz="0" w:space="0" w:color="auto"/>
        <w:bottom w:val="none" w:sz="0" w:space="0" w:color="auto"/>
        <w:right w:val="none" w:sz="0" w:space="0" w:color="auto"/>
      </w:divBdr>
    </w:div>
    <w:div w:id="259022576">
      <w:bodyDiv w:val="1"/>
      <w:marLeft w:val="0"/>
      <w:marRight w:val="0"/>
      <w:marTop w:val="0"/>
      <w:marBottom w:val="0"/>
      <w:divBdr>
        <w:top w:val="none" w:sz="0" w:space="0" w:color="auto"/>
        <w:left w:val="none" w:sz="0" w:space="0" w:color="auto"/>
        <w:bottom w:val="none" w:sz="0" w:space="0" w:color="auto"/>
        <w:right w:val="none" w:sz="0" w:space="0" w:color="auto"/>
      </w:divBdr>
    </w:div>
    <w:div w:id="294721864">
      <w:bodyDiv w:val="1"/>
      <w:marLeft w:val="0"/>
      <w:marRight w:val="0"/>
      <w:marTop w:val="0"/>
      <w:marBottom w:val="0"/>
      <w:divBdr>
        <w:top w:val="none" w:sz="0" w:space="0" w:color="auto"/>
        <w:left w:val="none" w:sz="0" w:space="0" w:color="auto"/>
        <w:bottom w:val="none" w:sz="0" w:space="0" w:color="auto"/>
        <w:right w:val="none" w:sz="0" w:space="0" w:color="auto"/>
      </w:divBdr>
    </w:div>
    <w:div w:id="514347366">
      <w:bodyDiv w:val="1"/>
      <w:marLeft w:val="0"/>
      <w:marRight w:val="0"/>
      <w:marTop w:val="0"/>
      <w:marBottom w:val="0"/>
      <w:divBdr>
        <w:top w:val="none" w:sz="0" w:space="0" w:color="auto"/>
        <w:left w:val="none" w:sz="0" w:space="0" w:color="auto"/>
        <w:bottom w:val="none" w:sz="0" w:space="0" w:color="auto"/>
        <w:right w:val="none" w:sz="0" w:space="0" w:color="auto"/>
      </w:divBdr>
    </w:div>
    <w:div w:id="1373849497">
      <w:bodyDiv w:val="1"/>
      <w:marLeft w:val="0"/>
      <w:marRight w:val="0"/>
      <w:marTop w:val="0"/>
      <w:marBottom w:val="0"/>
      <w:divBdr>
        <w:top w:val="none" w:sz="0" w:space="0" w:color="auto"/>
        <w:left w:val="none" w:sz="0" w:space="0" w:color="auto"/>
        <w:bottom w:val="none" w:sz="0" w:space="0" w:color="auto"/>
        <w:right w:val="none" w:sz="0" w:space="0" w:color="auto"/>
      </w:divBdr>
    </w:div>
    <w:div w:id="1423187948">
      <w:bodyDiv w:val="1"/>
      <w:marLeft w:val="0"/>
      <w:marRight w:val="0"/>
      <w:marTop w:val="0"/>
      <w:marBottom w:val="0"/>
      <w:divBdr>
        <w:top w:val="none" w:sz="0" w:space="0" w:color="auto"/>
        <w:left w:val="none" w:sz="0" w:space="0" w:color="auto"/>
        <w:bottom w:val="none" w:sz="0" w:space="0" w:color="auto"/>
        <w:right w:val="none" w:sz="0" w:space="0" w:color="auto"/>
      </w:divBdr>
    </w:div>
    <w:div w:id="1442259082">
      <w:bodyDiv w:val="1"/>
      <w:marLeft w:val="0"/>
      <w:marRight w:val="0"/>
      <w:marTop w:val="0"/>
      <w:marBottom w:val="0"/>
      <w:divBdr>
        <w:top w:val="none" w:sz="0" w:space="0" w:color="auto"/>
        <w:left w:val="none" w:sz="0" w:space="0" w:color="auto"/>
        <w:bottom w:val="none" w:sz="0" w:space="0" w:color="auto"/>
        <w:right w:val="none" w:sz="0" w:space="0" w:color="auto"/>
      </w:divBdr>
    </w:div>
    <w:div w:id="15511075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Son18</b:Tag>
    <b:SourceType>InternetSite</b:SourceType>
    <b:Guid>{9D5A3267-5AF2-4E7B-B30A-0CFC9AA88D0E}</b:Guid>
    <b:Author>
      <b:Author>
        <b:Corporate>Sony.net</b:Corporate>
      </b:Author>
    </b:Author>
    <b:Title>About Sony</b:Title>
    <b:Year>2018</b:Year>
    <b:YearAccessed>2018</b:YearAccessed>
    <b:MonthAccessed>August</b:MonthAccessed>
    <b:DayAccessed>12</b:DayAccessed>
    <b:URL>https://www.sony.net/SonyInfo/</b:URL>
    <b:RefOrder>1</b:RefOrder>
  </b:Source>
  <b:Source>
    <b:Tag>Gup15</b:Tag>
    <b:SourceType>JournalArticle</b:SourceType>
    <b:Guid>{F5ED76B3-9888-4976-935D-9D7C3A05C8AD}</b:Guid>
    <b:Title>Organizational Restructuring and Collaborative Creativity: The Case of Microsoft and Sony</b:Title>
    <b:Year>2015</b:Year>
    <b:Author>
      <b:Author>
        <b:NameList>
          <b:Person>
            <b:Last>Gupta</b:Last>
            <b:First>S</b:First>
          </b:Person>
          <b:Person>
            <b:Last>Dhillon</b:Last>
            <b:First>I</b:First>
          </b:Person>
        </b:NameList>
      </b:Author>
    </b:Author>
    <b:JournalName>Journal of Business Strategy</b:JournalName>
    <b:Pages>53-65</b:Pages>
    <b:Volume>12</b:Volume>
    <b:Issue>1</b:Issue>
    <b:RefOrder>2</b:RefOrder>
  </b:Source>
  <b:Source>
    <b:Tag>Tet16</b:Tag>
    <b:SourceType>Book</b:SourceType>
    <b:Guid>{018929CC-D121-4A5F-86D3-82B7A126545F}</b:Guid>
    <b:Author>
      <b:Author>
        <b:NameList>
          <b:Person>
            <b:Last>Tett</b:Last>
            <b:First>Gillian</b:First>
          </b:Person>
        </b:NameList>
      </b:Author>
    </b:Author>
    <b:Title>Ibuka suffered stroke in 1992 while Morita got affected by the same in 1993</b:Title>
    <b:Year>2016</b:Year>
    <b:City>New York</b:City>
    <b:Publisher>Simon and Schuster</b:Publisher>
    <b:RefOrder>3</b:RefOrder>
  </b:Source>
  <b:Source>
    <b:Tag>Sch03</b:Tag>
    <b:SourceType>JournalArticle</b:SourceType>
    <b:Guid>{637D3E1D-F308-4873-A182-F2A522CC8927}</b:Guid>
    <b:Title>The introduction of the PlayStation video game console in the entertainment division in 1994</b:Title>
    <b:Year>2003</b:Year>
    <b:Author>
      <b:Author>
        <b:NameList>
          <b:Person>
            <b:Last>Schilling</b:Last>
            <b:First>M</b:First>
            <b:Middle>A</b:Middle>
          </b:Person>
        </b:NameList>
      </b:Author>
    </b:Author>
    <b:JournalName>California Management Review</b:JournalName>
    <b:Volume>45</b:Volume>
    <b:Issue>3</b:Issue>
    <b:URL>https://doi.org/10.2307/41166174</b:URL>
    <b:RefOrder>4</b:RefOrder>
  </b:Source>
  <b:Source>
    <b:Tag>Fon03</b:Tag>
    <b:SourceType>JournalArticle</b:SourceType>
    <b:Guid>{F1D6761A-91C0-4088-8A58-894F47DE8AF5}</b:Guid>
    <b:Author>
      <b:Author>
        <b:NameList>
          <b:Person>
            <b:Last>Fong</b:Last>
            <b:First>T</b:First>
          </b:Person>
          <b:Person>
            <b:Last>Nourbakhsh</b:Last>
            <b:First>I</b:First>
          </b:Person>
          <b:Person>
            <b:Last>Duetehann</b:Last>
            <b:First>K</b:First>
          </b:Person>
        </b:NameList>
      </b:Author>
    </b:Author>
    <b:Title>A survey of socially interactive robots</b:Title>
    <b:JournalName>Robotics and Autonomous Systems</b:JournalName>
    <b:Year>2003</b:Year>
    <b:Pages>143-146</b:Pages>
    <b:Volume>42</b:Volume>
    <b:Issue>3-4</b:Issue>
    <b:URL>https://doi.org/10.1016/S0921-8890(02)00372-X</b:URL>
    <b:RefOrder>5</b:RefOrder>
  </b:Source>
  <b:Source>
    <b:Tag>Vel15</b:Tag>
    <b:SourceType>JournalArticle</b:SourceType>
    <b:Guid>{E20F2BF3-C09B-4911-AF3C-CBC427355053}</b:Guid>
    <b:Author>
      <b:Author>
        <b:NameList>
          <b:Person>
            <b:Last>Velez-Castrillon</b:Last>
            <b:First>S</b:First>
          </b:Person>
          <b:Person>
            <b:Last>Cory</b:Last>
            <b:First>A</b:First>
          </b:Person>
        </b:NameList>
      </b:Author>
    </b:Author>
    <b:Title>How Sony Got its Groove Back: A Case Study in Turnaround Management</b:Title>
    <b:JournalName>Business Education Innovation Journal</b:JournalName>
    <b:Year>2015</b:Year>
    <b:Pages>144-154</b:Pages>
    <b:Volume>7</b:Volume>
    <b:Issue>2</b:Issue>
    <b:RefOrder>6</b:RefOrder>
  </b:Source>
  <b:Source>
    <b:Tag>Mul07</b:Tag>
    <b:SourceType>JournalArticle</b:SourceType>
    <b:Guid>{60A3AE74-0B17-43FE-80B2-B4B12EE434B0}</b:Guid>
    <b:Author>
      <b:Author>
        <b:NameList>
          <b:Person>
            <b:Last>Mulligan</b:Last>
            <b:First>D</b:First>
            <b:Middle>K</b:Middle>
          </b:Person>
          <b:Person>
            <b:Last>Perzanowski</b:Last>
            <b:Middle>K</b:Middle>
            <b:First>A</b:First>
          </b:Person>
        </b:NameList>
      </b:Author>
    </b:Author>
    <b:Title>The magnificence of the disaster: Reconstructing the Sony BMG rootkit incident</b:Title>
    <b:JournalName>Berkeley Tech</b:JournalName>
    <b:Year>2007</b:Year>
    <b:Pages>1157-1168</b:Pages>
    <b:Volume>12</b:Volume>
    <b:Issue>2</b:Issue>
    <b:RefOrder>7</b:RefOrder>
  </b:Source>
</b:Sources>
</file>

<file path=customXml/itemProps1.xml><?xml version="1.0" encoding="utf-8"?>
<ds:datastoreItem xmlns:ds="http://schemas.openxmlformats.org/officeDocument/2006/customXml" ds:itemID="{13A38D9E-4676-4769-B3CC-A588A90B03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Pages>
  <Words>1028</Words>
  <Characters>5864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Moses Njuguna Mbugua</dc:creator>
  <cp:lastModifiedBy>Windows User</cp:lastModifiedBy>
  <cp:revision>3</cp:revision>
  <dcterms:created xsi:type="dcterms:W3CDTF">2019-04-04T13:29:00Z</dcterms:created>
  <dcterms:modified xsi:type="dcterms:W3CDTF">2019-04-04T13:41:00Z</dcterms:modified>
</cp:coreProperties>
</file>